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6B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威远县黑山羊规模化繁育养殖基地建设项目</w:t>
      </w:r>
    </w:p>
    <w:p w14:paraId="7AF32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智慧化监管平台采购需求清单</w:t>
      </w:r>
      <w:bookmarkStart w:id="0" w:name="_GoBack"/>
      <w:bookmarkEnd w:id="0"/>
    </w:p>
    <w:p w14:paraId="74249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5BA49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需求总表</w:t>
      </w:r>
    </w:p>
    <w:tbl>
      <w:tblPr>
        <w:tblStyle w:val="2"/>
        <w:tblW w:w="84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4658"/>
        <w:gridCol w:w="2488"/>
      </w:tblGrid>
      <w:tr w14:paraId="14527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lang w:val="en-US" w:eastAsia="zh-CN" w:bidi="ar"/>
              </w:rPr>
              <w:t>项目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lang w:val="en-US" w:eastAsia="zh-CN" w:bidi="ar"/>
              </w:rPr>
              <w:t>名称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总价</w:t>
            </w:r>
          </w:p>
        </w:tc>
      </w:tr>
      <w:tr w14:paraId="3CFC5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3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智慧监管平台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4B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515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</w:t>
            </w:r>
            <w:r>
              <w:rPr>
                <w:rStyle w:val="6"/>
                <w:lang w:val="en-US" w:eastAsia="zh-CN" w:bidi="ar"/>
              </w:rPr>
              <w:t>智能识别算法</w:t>
            </w:r>
            <w:r>
              <w:rPr>
                <w:rStyle w:val="6"/>
                <w:rFonts w:hint="eastAsia"/>
                <w:lang w:val="en-US" w:eastAsia="zh-CN" w:bidi="ar"/>
              </w:rPr>
              <w:t>模型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8D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2039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9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小型无人监测系统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42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625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中型无人监测系统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3E5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AAA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大型无人监测系统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EA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B0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交付及售后保障服务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B7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4D8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0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                        大写：</w:t>
            </w:r>
          </w:p>
        </w:tc>
      </w:tr>
    </w:tbl>
    <w:p w14:paraId="6C8F0E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E8F03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DDC55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956DD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55D3B8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5603C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FF508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3EFB6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分项需求明细</w:t>
      </w:r>
    </w:p>
    <w:p w14:paraId="36BF4B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1.智慧监管平台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5"/>
        <w:gridCol w:w="1331"/>
      </w:tblGrid>
      <w:tr w14:paraId="773C4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05" w:type="dxa"/>
          </w:tcPr>
          <w:p w14:paraId="3FB897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需求明细</w:t>
            </w:r>
          </w:p>
        </w:tc>
        <w:tc>
          <w:tcPr>
            <w:tcW w:w="1331" w:type="dxa"/>
          </w:tcPr>
          <w:p w14:paraId="48261E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</w:tr>
      <w:tr w14:paraId="1951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5" w:type="dxa"/>
          </w:tcPr>
          <w:p w14:paraId="1EB7CE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电脑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端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（PC页面）</w:t>
            </w:r>
          </w:p>
          <w:p w14:paraId="354A29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1.数据看板：平台设备状态监测；设备问题信息试试显示；任务分布、统计；AI识别排名;柱状图;底部统计栏;</w:t>
            </w:r>
          </w:p>
          <w:p w14:paraId="4037DB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2.任务管理：支持任务查询；创建任务；AU算法设置；取消、删除、挂起/恢复任务；任务详情、任务进度查看；列表/日历任务查看；</w:t>
            </w:r>
          </w:p>
          <w:p w14:paraId="2BC8DA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3.需求管理：支持需求列表、详情、审批；流程申请、审批管理；</w:t>
            </w:r>
          </w:p>
          <w:p w14:paraId="49C206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4.问题管理：支持问题列表查看、推送，有效性甄别和标记、对比；二次复检任务设置；</w:t>
            </w:r>
          </w:p>
          <w:p w14:paraId="6CF6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5.任务报告：支持多类型报告模板；可在线查看、下载PDF报告；AI自动汇总任务和问题数据，生成分析结论和处置建议；</w:t>
            </w:r>
          </w:p>
          <w:p w14:paraId="105DA5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6.任务工单模板：支持批量新增、调整工单；修改工单分配规则；</w:t>
            </w:r>
          </w:p>
          <w:p w14:paraId="49F326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7.监测设备运行管理：支持查询、新增、编辑、删除、导入、下载、分组路线；固定监测点检测、模拟、统计；路线管理支持新增、标注、编辑、删除、分组；</w:t>
            </w:r>
          </w:p>
          <w:p w14:paraId="745252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8.监测设备管理：支持设备名称查询、编辑、新增、分组；可实时查看信息推送、统计；具备监测设备及相关设备检查模块，设备日志，视频录制功能；</w:t>
            </w:r>
          </w:p>
          <w:p w14:paraId="03B1F9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.监测设备运行：一键启动任务；AI模型添加；重要信息展示；设备监控实时查看；运行自检及异常控制，自检结果弹送；具备调试模式；任务执行中具备直播、信息展示、测距、拍照、摄像头转动、中断任务、指定运行、实时3D地图查看、一键回舱功能，并备份全程任务日志；</w:t>
            </w:r>
          </w:p>
          <w:p w14:paraId="63FAC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数字资产管理：支持任务模型查询、导入、编辑、删除、新增、分组、启用情况、详情查看；硬盘监控；媒体库支持查询详情、批量下载、删除、分组筛选、网络展示功能；视频播放支持流媒体分屏播放、分组、各类型媒体导入；</w:t>
            </w:r>
          </w:p>
          <w:p w14:paraId="5962E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11.数据管理：具备AI算法详情查看、管理、识别等级分组、算法升级功能；</w:t>
            </w:r>
          </w:p>
          <w:p w14:paraId="29F712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12.用户管理：支持按管理员/用户名称编辑、新增、批量删除、导入/出、筛选；密码编辑重置；管理员/用户启用/停用，分配用户权限；</w:t>
            </w:r>
          </w:p>
          <w:p w14:paraId="3F556A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13.菜单管理：支持按菜单名称、状态编辑、新增、批量删除，具备展开/折叠功能；</w:t>
            </w:r>
          </w:p>
          <w:p w14:paraId="00A20A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14.部门管理：支持查询、新增客户、子部门新增、编辑、删除、展开/折叠功能；支持客户顶栏自定义；部门查询、新增、编辑、批量删除、导出展开/折叠功能；</w:t>
            </w:r>
          </w:p>
          <w:p w14:paraId="308BA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15.岗位管理：支持查询、新增、编辑、批量删除、导出展开/折叠功能；</w:t>
            </w:r>
          </w:p>
          <w:p w14:paraId="49DC6A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16.文字/字典管理：支持字典查询、新增、编辑、批量删除、导出、刷新缓存、数据编辑；</w:t>
            </w:r>
          </w:p>
          <w:p w14:paraId="45BBA6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17.参数管理：支持查询、新增、编辑、批量删除、导出、刷新缓存；</w:t>
            </w:r>
          </w:p>
          <w:p w14:paraId="13C22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18.通知公告：支持查询、新增、编辑、批量删除、导出、推送、撤回；</w:t>
            </w:r>
          </w:p>
          <w:p w14:paraId="3EE0C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19.操作日志和登录日志：支持查询、新增、批量删除、清空、导出、解锁用户；</w:t>
            </w:r>
          </w:p>
          <w:p w14:paraId="5693B5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20.站内信：支持消息查询，消息新增、详情查看、删除、标记已读、全部已读；</w:t>
            </w:r>
          </w:p>
          <w:p w14:paraId="36E6D3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21.个人中心：信息查看、编辑、修改密码；</w:t>
            </w:r>
          </w:p>
          <w:p w14:paraId="2C512F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通用设置：统一UI样式设置、修改系统名称及图标、修改大屏名称；</w:t>
            </w:r>
          </w:p>
          <w:p w14:paraId="115A92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手机端（微信小程序）</w:t>
            </w:r>
          </w:p>
          <w:p w14:paraId="079EB5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首页应用：通知公告；任务管理；任务工单；监测设备分布、状态、覆盖范围展示；任务信息；需求发布；任务报告；任务记录；</w:t>
            </w:r>
          </w:p>
          <w:p w14:paraId="0BA762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个人信息：支持查看、编辑、密码修改；</w:t>
            </w:r>
          </w:p>
        </w:tc>
        <w:tc>
          <w:tcPr>
            <w:tcW w:w="1331" w:type="dxa"/>
          </w:tcPr>
          <w:p w14:paraId="59EEA6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</w:tr>
    </w:tbl>
    <w:p w14:paraId="01151B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C56084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Style w:val="6"/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AI</w:t>
      </w:r>
      <w:r>
        <w:rPr>
          <w:rStyle w:val="6"/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 w:bidi="ar"/>
        </w:rPr>
        <w:t>智能识别算法模型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5"/>
        <w:gridCol w:w="1331"/>
      </w:tblGrid>
      <w:tr w14:paraId="5992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5" w:type="dxa"/>
          </w:tcPr>
          <w:p w14:paraId="59FE97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Style w:val="6"/>
                <w:rFonts w:hint="default"/>
                <w:b/>
                <w:bCs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需求明细</w:t>
            </w:r>
          </w:p>
        </w:tc>
        <w:tc>
          <w:tcPr>
            <w:tcW w:w="1331" w:type="dxa"/>
          </w:tcPr>
          <w:p w14:paraId="616A24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Style w:val="6"/>
                <w:rFonts w:hint="default"/>
                <w:b/>
                <w:bCs/>
                <w:vertAlign w:val="baseline"/>
                <w:lang w:val="en-US" w:eastAsia="zh-CN" w:bidi="ar"/>
              </w:rPr>
            </w:pPr>
            <w:r>
              <w:rPr>
                <w:rStyle w:val="6"/>
                <w:rFonts w:hint="eastAsia"/>
                <w:b/>
                <w:bCs/>
                <w:vertAlign w:val="baseline"/>
                <w:lang w:val="en-US" w:eastAsia="zh-CN" w:bidi="ar"/>
              </w:rPr>
              <w:t>数量</w:t>
            </w:r>
          </w:p>
        </w:tc>
      </w:tr>
      <w:tr w14:paraId="273B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5" w:type="dxa"/>
          </w:tcPr>
          <w:p w14:paraId="49F239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道路状态监测模型：适用于纵向、横向裂缝；修补；网状裂纹；坑槽；块状裂纹；积水；影子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5EACFB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车辆、行人模型：适用于行人；车辆；危化品车辆；车牌；</w:t>
            </w:r>
          </w:p>
          <w:p w14:paraId="55F373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交通管理模型：适用于事故；抛撒物；违停；T、L角点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护栏；非交通/交通标志；施工锥桶；施工水马；危化品；罐体；危险标识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0ADCAB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基地园区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模型：车辆；车牌；垃圾；商贩；违停；占道经营；裸土；违建；打架；建筑/白色/其他垃圾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48358C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基地绿化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监测模型：林斑；病死树；违法种植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1E0F1E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工地模型模型：塔式起重机；悬臂；起重机；压路机；推土机；挖掘机；卡车；装载机；泵车；混凝土搅拌车；打桩；其他车辆；带/未带安全帽；攀爬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4A81FD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行人模型：行人；建筑物下人群；红外视角行人；人群计数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5BF7FF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烟火模型：火焰；烟雾；烟花；夜间火焰/烟雾；火焰面积计算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74EF5D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人员监测模型：船只/落水/游泳/河湖/钓鱼人员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40480A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水域环境监测模型：漂浮物；岸坡垃圾；排口；违建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菜地；水生植物；河湖/钓鱼人员；船只；蓝藻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1F218C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6"/>
                <w:rFonts w:hint="default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11.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基地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光伏板模型：光伏板；覆盖物；裂缝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</w:tc>
        <w:tc>
          <w:tcPr>
            <w:tcW w:w="1331" w:type="dxa"/>
          </w:tcPr>
          <w:p w14:paraId="5EB794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Style w:val="6"/>
                <w:rFonts w:hint="default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2312" w:cs="Times New Roman"/>
                <w:vertAlign w:val="baseline"/>
                <w:lang w:val="en-US" w:eastAsia="zh-CN" w:bidi="ar"/>
              </w:rPr>
              <w:t>1套</w:t>
            </w:r>
          </w:p>
        </w:tc>
      </w:tr>
    </w:tbl>
    <w:p w14:paraId="2C4053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42AE5F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7F5164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0175D2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3</w:t>
      </w:r>
      <w:r>
        <w:rPr>
          <w:rFonts w:hint="eastAsia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小型无人监测系统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9"/>
        <w:gridCol w:w="1337"/>
      </w:tblGrid>
      <w:tr w14:paraId="048F7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36BD91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需求明细</w:t>
            </w:r>
          </w:p>
        </w:tc>
        <w:tc>
          <w:tcPr>
            <w:tcW w:w="1337" w:type="dxa"/>
            <w:vAlign w:val="center"/>
          </w:tcPr>
          <w:p w14:paraId="1EE4D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数量</w:t>
            </w:r>
          </w:p>
        </w:tc>
      </w:tr>
      <w:tr w14:paraId="0D6DC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662B62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监测设备</w:t>
            </w:r>
          </w:p>
          <w:p w14:paraId="500A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设备充电时间：≤30min；</w:t>
            </w:r>
          </w:p>
          <w:p w14:paraId="3A6609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设备支持以太网或4G等网络接入；</w:t>
            </w:r>
          </w:p>
          <w:p w14:paraId="4D24E7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设备支持最大工作时间：≥30min；最大作业半径：≥5km；</w:t>
            </w:r>
          </w:p>
          <w:p w14:paraId="58294E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4.设备重量：≤55kg</w:t>
            </w:r>
          </w:p>
          <w:p w14:paraId="589973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5.设备尺寸：开启状态≤1800×800×500mm（长×宽×高）</w:t>
            </w:r>
          </w:p>
          <w:p w14:paraId="45DFA6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关闭状态≤700×800×800mm（长×宽×高）</w:t>
            </w:r>
          </w:p>
          <w:p w14:paraId="373E6F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6.防护等级：≥IP56；</w:t>
            </w:r>
          </w:p>
          <w:p w14:paraId="5BCD01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7.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输入电压：AC100-240 V，50/60Hz；输入功率≤800W；</w:t>
            </w:r>
          </w:p>
          <w:p w14:paraId="1C9EF8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8.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设备需接入项目1的智慧监管平台</w:t>
            </w:r>
          </w:p>
        </w:tc>
        <w:tc>
          <w:tcPr>
            <w:tcW w:w="1337" w:type="dxa"/>
            <w:vAlign w:val="center"/>
          </w:tcPr>
          <w:p w14:paraId="51B9A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3套</w:t>
            </w:r>
          </w:p>
        </w:tc>
      </w:tr>
      <w:tr w14:paraId="2AD46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06641A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相关配件</w:t>
            </w:r>
          </w:p>
        </w:tc>
        <w:tc>
          <w:tcPr>
            <w:tcW w:w="1337" w:type="dxa"/>
            <w:vAlign w:val="center"/>
          </w:tcPr>
          <w:p w14:paraId="29E2C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8F55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2E8844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电池：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循环寿命≥400 次充放电循环；</w:t>
            </w:r>
          </w:p>
        </w:tc>
        <w:tc>
          <w:tcPr>
            <w:tcW w:w="1337" w:type="dxa"/>
            <w:vAlign w:val="center"/>
          </w:tcPr>
          <w:p w14:paraId="461BF4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9块</w:t>
            </w:r>
          </w:p>
        </w:tc>
      </w:tr>
      <w:tr w14:paraId="1BA13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18CC30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增强图传模块（含流量卡）：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接口需支持 USB-C等接口；包含流量≥2GB</w:t>
            </w:r>
          </w:p>
        </w:tc>
        <w:tc>
          <w:tcPr>
            <w:tcW w:w="1337" w:type="dxa"/>
            <w:vAlign w:val="center"/>
          </w:tcPr>
          <w:p w14:paraId="1ACF6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3个</w:t>
            </w:r>
          </w:p>
        </w:tc>
      </w:tr>
      <w:tr w14:paraId="71C59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2CB134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喊话器：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喊话距离：≥300m；</w:t>
            </w:r>
          </w:p>
        </w:tc>
        <w:tc>
          <w:tcPr>
            <w:tcW w:w="1337" w:type="dxa"/>
            <w:vAlign w:val="center"/>
          </w:tcPr>
          <w:p w14:paraId="486DC3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3个</w:t>
            </w:r>
          </w:p>
        </w:tc>
      </w:tr>
      <w:tr w14:paraId="478E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5BD0C3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探照灯：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支持常亮、爆闪；</w:t>
            </w:r>
          </w:p>
        </w:tc>
        <w:tc>
          <w:tcPr>
            <w:tcW w:w="1337" w:type="dxa"/>
            <w:vAlign w:val="center"/>
          </w:tcPr>
          <w:p w14:paraId="482409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3个</w:t>
            </w:r>
          </w:p>
        </w:tc>
      </w:tr>
      <w:tr w14:paraId="69CF0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4B6551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遥控器：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支持GPS、 北斗等多种卫星定位系统</w:t>
            </w:r>
          </w:p>
        </w:tc>
        <w:tc>
          <w:tcPr>
            <w:tcW w:w="1337" w:type="dxa"/>
            <w:vAlign w:val="center"/>
          </w:tcPr>
          <w:p w14:paraId="10D718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1个</w:t>
            </w:r>
          </w:p>
        </w:tc>
      </w:tr>
      <w:tr w14:paraId="6FFD1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38343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移动电源：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循环寿命≥3000次，市电输入；支持太阳能、车载充电输入；支持外接扩展电池包扩容；</w:t>
            </w:r>
          </w:p>
        </w:tc>
        <w:tc>
          <w:tcPr>
            <w:tcW w:w="1337" w:type="dxa"/>
            <w:vAlign w:val="center"/>
          </w:tcPr>
          <w:p w14:paraId="08EE8D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1个</w:t>
            </w:r>
          </w:p>
        </w:tc>
      </w:tr>
      <w:tr w14:paraId="67D9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39E6C3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电池充电器（充电器+电源适配器）：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支持多电池充电位同时或轮序充电，具备电池异常检测保护，支持外接户外储能电源供电；</w:t>
            </w:r>
          </w:p>
        </w:tc>
        <w:tc>
          <w:tcPr>
            <w:tcW w:w="1337" w:type="dxa"/>
            <w:vAlign w:val="center"/>
          </w:tcPr>
          <w:p w14:paraId="299A15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1个</w:t>
            </w:r>
          </w:p>
        </w:tc>
      </w:tr>
      <w:tr w14:paraId="0202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9" w:type="dxa"/>
            <w:vAlign w:val="center"/>
          </w:tcPr>
          <w:p w14:paraId="1AC014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空气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监测设备：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支持同时监测污染物种类≥6种，并配备温度、湿度、大气压参数（该参数不占用污染物检测种类数量）</w:t>
            </w:r>
          </w:p>
        </w:tc>
        <w:tc>
          <w:tcPr>
            <w:tcW w:w="1337" w:type="dxa"/>
            <w:vAlign w:val="center"/>
          </w:tcPr>
          <w:p w14:paraId="6ADFE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2个</w:t>
            </w:r>
          </w:p>
        </w:tc>
      </w:tr>
    </w:tbl>
    <w:p w14:paraId="4408EF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default" w:ascii="方正仿宋简体" w:hAnsi="方正仿宋简体" w:eastAsia="方正仿宋简体" w:cs="方正仿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42EB17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4.中型无人监测系统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0"/>
        <w:gridCol w:w="1316"/>
      </w:tblGrid>
      <w:tr w14:paraId="24822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0" w:type="dxa"/>
          </w:tcPr>
          <w:p w14:paraId="22F31D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需求明细</w:t>
            </w:r>
          </w:p>
        </w:tc>
        <w:tc>
          <w:tcPr>
            <w:tcW w:w="1316" w:type="dxa"/>
          </w:tcPr>
          <w:p w14:paraId="2CED1C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数量</w:t>
            </w:r>
          </w:p>
        </w:tc>
      </w:tr>
      <w:tr w14:paraId="534D8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0" w:type="dxa"/>
          </w:tcPr>
          <w:p w14:paraId="7391F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监测设备</w:t>
            </w:r>
          </w:p>
          <w:p w14:paraId="45E285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充电时间：≤50min；</w:t>
            </w:r>
          </w:p>
          <w:p w14:paraId="10D706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支持以太网网络或者4G等网络接入；</w:t>
            </w:r>
          </w:p>
          <w:p w14:paraId="22F27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最大工作时间：≥40min；最大作业半径：≥10km；</w:t>
            </w:r>
          </w:p>
          <w:p w14:paraId="1875BB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4.设备重量≤500kg</w:t>
            </w:r>
          </w:p>
          <w:p w14:paraId="40FA68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5.设备尺寸：开启状态≤2900×1500×1280mm（长×宽×高）；关闭状态≤1600×1500×1280mm（长×宽×高）；</w:t>
            </w:r>
          </w:p>
          <w:p w14:paraId="1B5D9B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6.防护等级：≥IP56；</w:t>
            </w:r>
          </w:p>
          <w:p w14:paraId="4FDA2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7.输入电压：AC100-240 V，50/60Hz；输入功率≤1800W</w:t>
            </w:r>
          </w:p>
          <w:p w14:paraId="2DA13F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8.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设备需接入项目1的智慧监管平台</w:t>
            </w:r>
          </w:p>
        </w:tc>
        <w:tc>
          <w:tcPr>
            <w:tcW w:w="1316" w:type="dxa"/>
            <w:vAlign w:val="center"/>
          </w:tcPr>
          <w:p w14:paraId="26585A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4套</w:t>
            </w:r>
          </w:p>
        </w:tc>
      </w:tr>
      <w:tr w14:paraId="6287C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0" w:type="dxa"/>
          </w:tcPr>
          <w:p w14:paraId="74446A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相关配件</w:t>
            </w:r>
          </w:p>
        </w:tc>
        <w:tc>
          <w:tcPr>
            <w:tcW w:w="1316" w:type="dxa"/>
            <w:vAlign w:val="center"/>
          </w:tcPr>
          <w:p w14:paraId="5BC1BD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8FD7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0" w:type="dxa"/>
          </w:tcPr>
          <w:p w14:paraId="4E6AFD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电池：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循环寿命≥400次充电循环；</w:t>
            </w:r>
          </w:p>
        </w:tc>
        <w:tc>
          <w:tcPr>
            <w:tcW w:w="1316" w:type="dxa"/>
            <w:vAlign w:val="center"/>
          </w:tcPr>
          <w:p w14:paraId="34F93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块</w:t>
            </w:r>
          </w:p>
        </w:tc>
      </w:tr>
      <w:tr w14:paraId="7F96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0" w:type="dxa"/>
          </w:tcPr>
          <w:p w14:paraId="62EF29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四光相机：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广角相机有效像素≥4800万，变焦相机有效像素≥4800万；</w:t>
            </w:r>
          </w:p>
        </w:tc>
        <w:tc>
          <w:tcPr>
            <w:tcW w:w="1316" w:type="dxa"/>
            <w:vAlign w:val="center"/>
          </w:tcPr>
          <w:p w14:paraId="68F024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4个</w:t>
            </w:r>
          </w:p>
        </w:tc>
      </w:tr>
      <w:tr w14:paraId="357EB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0" w:type="dxa"/>
          </w:tcPr>
          <w:p w14:paraId="5FC95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喊话器：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喊话距离≥500m；</w:t>
            </w:r>
          </w:p>
        </w:tc>
        <w:tc>
          <w:tcPr>
            <w:tcW w:w="1316" w:type="dxa"/>
            <w:vAlign w:val="center"/>
          </w:tcPr>
          <w:p w14:paraId="729D53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个</w:t>
            </w:r>
          </w:p>
        </w:tc>
      </w:tr>
    </w:tbl>
    <w:p w14:paraId="0A2E9F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eastAsia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5.大型无人监测系统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5"/>
        <w:gridCol w:w="1311"/>
      </w:tblGrid>
      <w:tr w14:paraId="3C73A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7FB4BC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需求明细</w:t>
            </w:r>
          </w:p>
        </w:tc>
        <w:tc>
          <w:tcPr>
            <w:tcW w:w="1311" w:type="dxa"/>
          </w:tcPr>
          <w:p w14:paraId="233FA4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数量</w:t>
            </w:r>
          </w:p>
        </w:tc>
      </w:tr>
      <w:tr w14:paraId="7BF5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0E5EB8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监测设备</w:t>
            </w:r>
          </w:p>
          <w:p w14:paraId="1A4BD2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充电时间：≤50min；</w:t>
            </w:r>
          </w:p>
          <w:p w14:paraId="11E4A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支持以太网网络或者4G等网络接入；</w:t>
            </w:r>
          </w:p>
          <w:p w14:paraId="0B53E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最大工作时间：≥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min；最大作业半径：≥30km；</w:t>
            </w:r>
          </w:p>
          <w:p w14:paraId="21B31E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4.设备重量≤750kg</w:t>
            </w:r>
          </w:p>
          <w:p w14:paraId="1239A7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5.设备尺寸：开启状态≤2450×1900×1900mm（长×宽×高）；关闭状态≤4500×1900×1300mm（长×宽×高）；</w:t>
            </w:r>
          </w:p>
          <w:p w14:paraId="7DF676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6.防护等级：≥IP54；</w:t>
            </w:r>
          </w:p>
          <w:p w14:paraId="7273C1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7.输入电压：AC100-240 V，50/60Hz；输入功率≤8000W</w:t>
            </w:r>
          </w:p>
        </w:tc>
        <w:tc>
          <w:tcPr>
            <w:tcW w:w="1311" w:type="dxa"/>
            <w:vAlign w:val="center"/>
          </w:tcPr>
          <w:p w14:paraId="0856BF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1套</w:t>
            </w:r>
          </w:p>
        </w:tc>
      </w:tr>
      <w:tr w14:paraId="335A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62C6C4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相关配件</w:t>
            </w:r>
          </w:p>
        </w:tc>
        <w:tc>
          <w:tcPr>
            <w:tcW w:w="1311" w:type="dxa"/>
            <w:vAlign w:val="center"/>
          </w:tcPr>
          <w:p w14:paraId="5650A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52217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7625C7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信号增强设备：工作频段大型无人监测系统匹配；</w:t>
            </w:r>
          </w:p>
        </w:tc>
        <w:tc>
          <w:tcPr>
            <w:tcW w:w="1311" w:type="dxa"/>
            <w:vAlign w:val="center"/>
          </w:tcPr>
          <w:p w14:paraId="781D5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1套</w:t>
            </w:r>
          </w:p>
        </w:tc>
      </w:tr>
    </w:tbl>
    <w:p w14:paraId="48DF95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eastAsia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6.交付及售后保障服务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5"/>
        <w:gridCol w:w="1311"/>
      </w:tblGrid>
      <w:tr w14:paraId="5DF9F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6F543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需求明细</w:t>
            </w:r>
          </w:p>
        </w:tc>
        <w:tc>
          <w:tcPr>
            <w:tcW w:w="1311" w:type="dxa"/>
          </w:tcPr>
          <w:p w14:paraId="754642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数量</w:t>
            </w:r>
          </w:p>
        </w:tc>
      </w:tr>
      <w:tr w14:paraId="1AA95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4E05C4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交付服务</w:t>
            </w:r>
          </w:p>
          <w:p w14:paraId="2FEC8E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大、中、小型无人监测系统根据需求数量提供与之相匹配交付（包括但是不限于设施基础建设、设备安装调试、使用培训等）</w:t>
            </w:r>
          </w:p>
        </w:tc>
        <w:tc>
          <w:tcPr>
            <w:tcW w:w="1311" w:type="dxa"/>
            <w:vAlign w:val="center"/>
          </w:tcPr>
          <w:p w14:paraId="50FC9A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1项</w:t>
            </w:r>
          </w:p>
        </w:tc>
      </w:tr>
      <w:tr w14:paraId="7C94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2A33FC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意外保障服务</w:t>
            </w:r>
          </w:p>
          <w:p w14:paraId="01FA56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大、中、小型无人监测系统根据需求数量提供与之相匹配的意外保障服务。自设备正式交付起12个月的全部设备意外损坏支持维修或换新；保障额度内不限次数原厂维修，使用原厂配件且无免赔额；支持设备置换次数≥1次/年，电池置换次数≥2次/年，设备保障额度≥报价*80%；</w:t>
            </w:r>
          </w:p>
        </w:tc>
        <w:tc>
          <w:tcPr>
            <w:tcW w:w="1311" w:type="dxa"/>
            <w:vAlign w:val="center"/>
          </w:tcPr>
          <w:p w14:paraId="59B1F8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1项</w:t>
            </w:r>
          </w:p>
        </w:tc>
      </w:tr>
      <w:tr w14:paraId="7CCA2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5A5503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保险服务</w:t>
            </w:r>
          </w:p>
          <w:p w14:paraId="766DF2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大、中、小型无人监测系统根据需求数量提供与之相匹配的第三者责任保险。自设备正式交付起12个月，与设备意外保障服务同步生效；累计责任额度≥100万；单次责任额度≥50万；保险期内，在合规作业范围发生意外，作业装置或坠落物品造成第三者人身伤亡、第三者财产直接损失，依法应由被保险人承担的经济赔偿责任；承保中国大陆地区；出具正规纸质/电子保单；支持报案、定损、理赔全流程服务；提供保险咨询对接。</w:t>
            </w:r>
          </w:p>
        </w:tc>
        <w:tc>
          <w:tcPr>
            <w:tcW w:w="1311" w:type="dxa"/>
            <w:vAlign w:val="center"/>
          </w:tcPr>
          <w:p w14:paraId="22CBD5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1项</w:t>
            </w:r>
          </w:p>
        </w:tc>
      </w:tr>
      <w:tr w14:paraId="53BA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63D554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技术支持与运维保障服务</w:t>
            </w:r>
          </w:p>
          <w:p w14:paraId="724F7C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监测设备、监管平台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运营维护工作（首年免费，共计三年）；全天候运行状态监控，发现异常及时预警并同步采购方；提供7×24小时技术支持热线，接到报修后15分钟内响应，快速排查解决各类故障；核心易损件提前备货，按需邮寄原厂配件并提供更换指导；负责所有系统固件升级、安全补丁更新与运行优化；定期备份设备运行数据与巡检数据，协助完成数据恢复。</w:t>
            </w:r>
          </w:p>
        </w:tc>
        <w:tc>
          <w:tcPr>
            <w:tcW w:w="1311" w:type="dxa"/>
            <w:vAlign w:val="center"/>
          </w:tcPr>
          <w:p w14:paraId="538347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1项</w:t>
            </w:r>
          </w:p>
        </w:tc>
      </w:tr>
      <w:tr w14:paraId="3A066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53BD15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设备校准与耗材保障服务</w:t>
            </w:r>
          </w:p>
          <w:p w14:paraId="205D61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指导完成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所有监测设备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系统平台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的基础校准；建立常用耗材储备库，按需提供螺原厂耗材，48小时内发货。</w:t>
            </w:r>
          </w:p>
        </w:tc>
        <w:tc>
          <w:tcPr>
            <w:tcW w:w="1311" w:type="dxa"/>
            <w:vAlign w:val="center"/>
          </w:tcPr>
          <w:p w14:paraId="6A2012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1项</w:t>
            </w:r>
          </w:p>
        </w:tc>
      </w:tr>
      <w:tr w14:paraId="4D0CA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25" w:type="dxa"/>
          </w:tcPr>
          <w:p w14:paraId="232633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配套服务</w:t>
            </w:r>
          </w:p>
          <w:p w14:paraId="4FD43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首年提供1次集中培训，覆盖设备操作、日常维护与常见故障处理；提供持续技术咨询，解答使用过程中的各类问题。</w:t>
            </w:r>
          </w:p>
        </w:tc>
        <w:tc>
          <w:tcPr>
            <w:tcW w:w="1311" w:type="dxa"/>
            <w:vAlign w:val="center"/>
          </w:tcPr>
          <w:p w14:paraId="37E96E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atLeas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1项</w:t>
            </w:r>
          </w:p>
        </w:tc>
      </w:tr>
    </w:tbl>
    <w:p w14:paraId="77D15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leftChars="0"/>
        <w:jc w:val="both"/>
        <w:textAlignment w:val="auto"/>
        <w:rPr>
          <w:rFonts w:hint="default" w:ascii="方正仿宋简体" w:hAnsi="方正仿宋简体" w:eastAsia="方正仿宋简体" w:cs="方正仿宋简体"/>
          <w:i w:val="0"/>
          <w:iCs w:val="0"/>
          <w:color w:val="000000"/>
          <w:sz w:val="28"/>
          <w:szCs w:val="28"/>
          <w:u w:val="none"/>
          <w:lang w:val="en-US" w:eastAsia="zh-CN"/>
        </w:rPr>
      </w:pPr>
    </w:p>
    <w:sectPr>
      <w:pgSz w:w="11906" w:h="16838"/>
      <w:pgMar w:top="2098" w:right="1757" w:bottom="1928" w:left="172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B1510"/>
    <w:multiLevelType w:val="singleLevel"/>
    <w:tmpl w:val="BA3B151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DA5C3AD"/>
    <w:multiLevelType w:val="singleLevel"/>
    <w:tmpl w:val="DDA5C3A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AAF8B16"/>
    <w:multiLevelType w:val="singleLevel"/>
    <w:tmpl w:val="7AAF8B16"/>
    <w:lvl w:ilvl="0" w:tentative="0">
      <w:start w:val="2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43F9E"/>
    <w:rsid w:val="189E20A3"/>
    <w:rsid w:val="19EA210A"/>
    <w:rsid w:val="28BA680E"/>
    <w:rsid w:val="3CDB2766"/>
    <w:rsid w:val="3FD151A6"/>
    <w:rsid w:val="52B4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71"/>
    <w:basedOn w:val="4"/>
    <w:qFormat/>
    <w:uiPriority w:val="0"/>
    <w:rPr>
      <w:rFonts w:ascii="方正仿宋简体" w:hAnsi="方正仿宋简体" w:eastAsia="方正仿宋简体" w:cs="方正仿宋简体"/>
      <w:b/>
      <w:bCs/>
      <w:color w:val="000000"/>
      <w:sz w:val="28"/>
      <w:szCs w:val="28"/>
      <w:u w:val="none"/>
    </w:rPr>
  </w:style>
  <w:style w:type="character" w:customStyle="1" w:styleId="6">
    <w:name w:val="font31"/>
    <w:basedOn w:val="4"/>
    <w:qFormat/>
    <w:uiPriority w:val="0"/>
    <w:rPr>
      <w:rFonts w:hint="eastAsia" w:ascii="方正仿宋简体" w:hAnsi="方正仿宋简体" w:eastAsia="方正仿宋简体" w:cs="方正仿宋简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1745</Words>
  <Characters>1803</Characters>
  <Lines>0</Lines>
  <Paragraphs>0</Paragraphs>
  <TotalTime>6</TotalTime>
  <ScaleCrop>false</ScaleCrop>
  <LinksUpToDate>false</LinksUpToDate>
  <CharactersWithSpaces>1803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2026-10-27T00:51:00Z</dcterms:created>
  <dc:creator>柒</dc:creator>
  <cp:lastModifiedBy>Lwesss</cp:lastModifiedBy>
  <dcterms:modified xsi:type="dcterms:W3CDTF">2026-10-29T09:50:48Z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08A992A7B4D04B7A84040ABE1CAA6849_13</vt:lpwstr>
  </property>
  <property fmtid="{D5CDD505-2E9C-101B-9397-08002B2CF9AE}" pid="4" name="KSOTemplateDocerSaveRecord">
    <vt:lpwstr>eyJoZGlkIjoiMTQxYzcxY2Q2ZDlmZTQ3YWUyNmYzNjE4ZTQyNzhlZTkiLCJ1c2VySWQiOiIzNDE1OTg3MzkifQ==</vt:lpwstr>
  </property>
</Properties>
</file>